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MgVG — Errichtungs- und Tätigkeitsschutz</w:t>
      </w:r>
    </w:p>
    <w:p>
      <w:r>
        <w:rPr>
          <w:color w:val="555555"/>
          <w:sz w:val="18"/>
        </w:rPr>
        <w:t xml:space="preserve">Gesetz über die Mitbestimmung der Arbeitnehmer bei einer grenzüberschreitenden Verschmelzung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Niemand darf</w:t>
      </w:r>
    </w:p>
    <w:p>
      <w:pPr>
        <w:ind w:left="420"/>
      </w:pPr>
      <w:r>
        <w:t xml:space="preserve">1. die Bildung des besonderen Verhandlungsgremiums oder die Wahl, Bestellung, Empfehlung oder Ablehnung der Arbeitnehmervertreter im Aufsichts- oder Verwaltungsorgan behindern oder durch Zufügung oder Androhung von Nachteilen oder durch Gewährung oder Versprechen von Vorteilen beeinflussen;</w:t>
      </w:r>
    </w:p>
    <w:p>
      <w:pPr>
        <w:ind w:left="420"/>
      </w:pPr>
      <w:r>
        <w:t xml:space="preserve">2. die Tätigkeit des besonderen Verhandlungsgremiums oder die Tätigkeit der Arbeitnehmervertreter im Aufsichts- oder Verwaltungsorgan behindern oder stören oder</w:t>
      </w:r>
    </w:p>
    <w:p>
      <w:pPr>
        <w:ind w:left="420"/>
      </w:pPr>
      <w:r>
        <w:t xml:space="preserve">3. ein Mitglied oder Ersatzmitglied des besonderen Verhandlungsgremiums oder einen Arbeitnehmervertreter im Aufsichts- oder Verwaltungsorgan wegen seiner Tätigkeit benachteiligen oder begünstigen.</w:t>
      </w:r>
    </w:p>
    <w:p>
      <w:r>
        <w:rPr>
          <w:color w:val="555555"/>
          <w:sz w:val="17"/>
        </w:rPr>
        <w:t xml:space="preserve">Zitiervorschlag: § 33 MgVG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https://recht.nulegal.eu/gesetze/MgVG/33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