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MgVG — Geheimhaltung; Vertraulichkeit</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Informationspflichten der Leitungen und der Leitung der aus einer grenzüberschreitenden Verschmelzung hervorgehenden Gesellschaft nach diesem Gesetz bestehen nur, soweit bei Zugrundelegung objektiver Kriterien dadurch nicht Betriebs- oder Geschäftsgeheimnisse der an der Verschmelzung beteiligten Gesellschaften, der aus der grenzüberschreitenden Verschmelzung hervorgehenden Gesellschaft oder deren jeweiliger Tochtergesellschaften und Betriebe gefährdet werden.</w:t>
      </w:r>
    </w:p>
    <w:p>
      <w:r>
        <w:t xml:space="preserve">(2) Die Mitglieder und Ersatzmitglieder eines besonderen Verhandlungsgremiums sind unabhängig von ihrem Aufenthaltsort verpflichtet, Betriebs- oder Geschäftsgeheimnisse, die ihnen wegen ihrer Zugehörigkeit zum besonderen Verhandlungsgremium bekannt geworden und von der Leitung ausdrücklich als geheimhaltungsbedürftig bezeichnet worden sind, nicht zu offenbaren und nicht zu verwerten. Dies gilt auch nach dem Ausscheiden aus dem besonderen Verhandlungsgremium.</w:t>
      </w:r>
    </w:p>
    <w:p>
      <w:r>
        <w:t xml:space="preserve">(3) Die Pflicht zur Vertraulichkeit der Mitglieder und Ersatzmitglieder eines besonderen Verhandlungsgremiums nach Absatz 2 gilt nicht gegenüber</w:t>
      </w:r>
    </w:p>
    <w:p>
      <w:pPr>
        <w:ind w:left="420"/>
      </w:pPr>
      <w:r>
        <w:t xml:space="preserve">1. den Mitgliedern und Ersatzmitgliedern des besonderen Verhandlungsgremiums,</w:t>
      </w:r>
    </w:p>
    <w:p>
      <w:pPr>
        <w:ind w:left="420"/>
      </w:pPr>
      <w:r>
        <w:t xml:space="preserve">2. den Arbeitnehmervertretern im Aufsichts- oder Verwaltungsorgan der aus der grenzüberschreitenden Verschmelzung hervorgehenden Gesellschaft sowie</w:t>
      </w:r>
    </w:p>
    <w:p>
      <w:pPr>
        <w:ind w:left="420"/>
      </w:pPr>
      <w:r>
        <w:t xml:space="preserve">3. den Dolmetschern und Sachverständigen, die zur Unterstützung herangezogen werden.</w:t>
      </w:r>
    </w:p>
    <w:p>
      <w:r>
        <w:t xml:space="preserve">(4) Die Pflicht zur Vertraulichkeit nach Absatz 2 gilt entsprechend für die Sachverständigen und Dolmetscher.</w:t>
      </w:r>
    </w:p>
    <w:p>
      <w:r>
        <w:rPr>
          <w:color w:val="555555"/>
          <w:sz w:val="17"/>
        </w:rPr>
        <w:t xml:space="preserve">Zitiervorschlag: § 31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