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MgVG — Rechtsstellung; Innere Ordnung</w:t>
      </w:r>
    </w:p>
    <w:p>
      <w:r>
        <w:rPr>
          <w:color w:val="555555"/>
          <w:sz w:val="18"/>
        </w:rPr>
        <w:t xml:space="preserve">Gesetz über die Mitbestimmung der Arbeitnehmer bei einer grenzüberschreitenden Verschmelzung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Arbeitnehmervertreter im Aufsichts- oder Verwaltungsorgan der aus der grenzüberschreitenden Verschmelzung hervorgehenden Gesellschaft haben die gleichen Rechte und Pflichten wie die Mitglieder, die die Anteilseigner vertreten.</w:t>
      </w:r>
    </w:p>
    <w:p>
      <w:r>
        <w:t xml:space="preserve">(2) Die Zahl der Mitglieder der Leitung beträgt mindestens zwei. Einer von ihnen ist für den Bereich Arbeit und Soziales zuständig. Dies gilt nicht für die Kommanditgesellschaft auf Aktien.</w:t>
      </w:r>
    </w:p>
    <w:p>
      <w:r>
        <w:t xml:space="preserve">(3) Besteht in einer der beteiligten Gesellschaften das Aufsichtsorgan aus derselben Zahl von Anteilseigner- und Arbeitnehmervertretern sowie einem weiteren Mitglied, so ist auch im Aufsichts- oder Verwaltungsorgan der aus der grenzüberschreitenden Verschmelzung hervorgehenden Gesellschaft ein weiteres Mitglied auf gemeinsamen Vorschlag der Anteilseigner- und der Arbeitnehmervertreter zu wählen.</w:t>
      </w:r>
    </w:p>
    <w:p>
      <w:r>
        <w:rPr>
          <w:color w:val="555555"/>
          <w:sz w:val="17"/>
        </w:rPr>
        <w:t xml:space="preserve">Zitiervorschlag: § 27 MgVG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https://recht.nulegal.eu/gesetze/MgVG/27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