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MgVG — Umfang der Mitbestimmung</w:t>
      </w:r>
    </w:p>
    <w:p>
      <w:r>
        <w:rPr>
          <w:color w:val="555555"/>
          <w:sz w:val="18"/>
        </w:rPr>
        <w:t xml:space="preserve">Gesetz über die Mitbestimmung der Arbeitnehmer bei einer grenzüberschreitenden Verschmelzung</w:t>
      </w:r>
    </w:p>
    <w:p>
      <w:r>
        <w:rPr>
          <w:color w:val="555555"/>
          <w:sz w:val="18"/>
        </w:rPr>
        <w:t xml:space="preserve">Stand: 10.06.2019 (konsolidierte Textfassung, kein amtliches Inkrafttretensdatum)</w:t>
      </w:r>
    </w:p>
    <w:p>
      <w:r>
        <w:t xml:space="preserve">(1) Die Arbeitnehmer der aus der grenzüberschreitenden Verschmelzung hervorgehenden Gesellschaft, ihrer Tochtergesellschaften und Betriebe oder ihr Vertretungsorgan haben das Recht, einen Teil der Mitglieder des Aufsichts- oder Verwaltungsorgans der aus der grenzüberschreitenden Verschmelzung hervorgehenden Gesellschaft zu wählen oder zu bestellen oder deren Bestellung zu empfehlen oder abzulehnen. Die Zahl dieser Arbeitnehmervertreter im Aufsichts- oder Verwaltungsorgan der aus der grenzüberschreitenden Verschmelzung hervorgehenden Gesellschaft bemisst sich nach dem höchsten Anteil an Arbeitnehmervertretern, der in den Organen der beteiligten Gesellschaften vor der Eintragung der aus der grenzüberschreitenden Verschmelzung hervorgehenden Gesellschaft bestanden hat.</w:t>
      </w:r>
    </w:p>
    <w:p>
      <w:r>
        <w:t xml:space="preserve">(2) Handelt es sich bei der aus einer grenzüberschreitenden Verschmelzung hervorgehenden Gesellschaft nach Absatz 1 um eine Gesellschaft mit beschränkter Haftung, so ist in dieser Gesellschaft ein Aufsichtsrat zu bilden. § 90 Abs. 3, 4, 5 Satz 1 und 2, §§ 95 bis 116, 118 Abs. 3, § 125 Abs. 3 und 4 und §§ 170, 171, 268 Abs. 2 des Aktiengesetzes sind entsprechend anzuwenden, soweit nicht in den Vorschriften dieses Gesetzes ein anderes bestimmt ist.</w:t>
      </w:r>
    </w:p>
    <w:p>
      <w:r>
        <w:t xml:space="preserve">(3) Steht die Satzung der aus einer grenzüberschreitenden Verschmelzung hervorgehenden Gesellschaft im Widerspruch zu den Regelungen über die Mitbestimmung kraft Gesetzes, ist die Satzung anzupassen.</w:t>
      </w:r>
    </w:p>
    <w:p>
      <w:r>
        <w:rPr>
          <w:color w:val="555555"/>
          <w:sz w:val="17"/>
        </w:rPr>
        <w:t xml:space="preserve">Zitiervorschlag: § 24 MgVG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https://recht.nulegal.eu/gesetze/MgVG/24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