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MgVG — Voraussetzung</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(1) Die Regelungen dieses Kapitels finden ab dem Zeitpunkt der Eintragung der aus der grenzüberschreitenden Verschmelzung hervorgehenden Gesellschaft Anwendung, wenn</w:t>
      </w:r>
    </w:p>
    <w:p>
      <w:pPr>
        <w:ind w:left="420"/>
      </w:pPr>
      <w:r>
        <w:t xml:space="preserve">1. die Parteien dies vereinbaren oder</w:t>
      </w:r>
    </w:p>
    <w:p>
      <w:pPr>
        <w:ind w:left="420"/>
      </w:pPr>
      <w:r>
        <w:t xml:space="preserve">2. bis zum Ende des in § 21 angegebenen Zeitraums keine Vereinbarung zustande gekommen ist und das besondere Verhandlungsgremium keinen Beschluss nach § 18 gefasst hat oder</w:t>
      </w:r>
    </w:p>
    <w:p>
      <w:pPr>
        <w:ind w:left="420"/>
      </w:pPr>
      <w:r>
        <w:t xml:space="preserve">3. die Leitungen der an der Verschmelzung beteiligten Gesellschaften entscheiden, diese Regelungen ohne vorhergehende Verhandlung unmittelbar ab dem Zeitpunkt der Eintragung anzuwenden.</w:t>
      </w:r>
    </w:p>
    <w:p>
      <w:r>
        <w:t xml:space="preserve">In den Fällen des Satzes 1 Nr. 2 und 3 muss vor der Eintragung der aus der grenzüberschreitenden Verschmelzung hervorgehenden Gesellschaft in einer oder mehreren der beteiligten Gesellschaften eine oder mehrere Formen der Mitbestimmung bestanden haben, die</w:t>
      </w:r>
    </w:p>
    <w:p>
      <w:pPr>
        <w:ind w:left="420"/>
      </w:pPr>
      <w:r>
        <w:t xml:space="preserve">1. sich auf mindestens ein Drittel der Gesamtzahl der Arbeitnehmer aller beteiligten Gesellschaften und betroffenen Tochtergesellschaften erstreckte oder</w:t>
      </w:r>
    </w:p>
    <w:p>
      <w:pPr>
        <w:ind w:left="420"/>
      </w:pPr>
      <w:r>
        <w:t xml:space="preserve">2. sich auf weniger als ein Drittel der Gesamtzahl der Arbeitnehmer aller beteiligten Gesellschaften und betroffenen Tochtergesellschaften erstreckte und das besondere Verhandlungsgremium einen entsprechenden Beschluss fasst.</w:t>
      </w:r>
    </w:p>
    <w:p>
      <w:r>
        <w:t xml:space="preserve">(2) Bestand in den Fällen von Absatz 1 mehr als eine Form der Mitbestimmung im Sinne des § 2 Abs. 7 in den verschiedenen beteiligten Gesellschaften, so entscheidet das besondere Verhandlungsgremium, welche von ihnen in der aus der grenzüberschreitenden Verschmelzung hervorgehenden Gesellschaft eingeführt wird. Wenn das besondere Verhandlungsgremium keinen solchen Beschluss fasst und eine inländische Gesellschaft, deren Arbeitnehmern Mitbestimmungsrechte zustehen, an der Verschmelzung beteiligt ist, ist die Mitbestimmung nach § 2 Abs. 7 Nr. 1 maßgeblich. Ist keine inländische Gesellschaft, deren Arbeitnehmern Mitbestimmungsrechte zustehen, beteiligt, findet die Form der Mitbestimmung nach § 2 Abs. 7 Anwendung, die sich auf die höchste Zahl der in den beteiligten Gesellschaften beschäftigten Arbeitnehmer erstreckt.</w:t>
      </w:r>
    </w:p>
    <w:p>
      <w:r>
        <w:t xml:space="preserve">(3) Das besondere Verhandlungsgremium unterrichtet die Leitungen über die Beschlüsse, die es nach Absatz 1 Satz 2 Nr. 2 und Absatz 2 Satz 1 gefasst hat.</w:t>
      </w:r>
    </w:p>
    <w:p>
      <w:r>
        <w:rPr>
          <w:color w:val="555555"/>
          <w:sz w:val="17"/>
        </w:rPr>
        <w:t xml:space="preserve">Zitiervorschlag: § 23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