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MgVG — Inhalt der Vereinbarung</w:t>
      </w:r>
    </w:p>
    <w:p>
      <w:r>
        <w:rPr>
          <w:color w:val="555555"/>
          <w:sz w:val="18"/>
        </w:rPr>
        <w:t xml:space="preserve">Gesetz über die Mitbestimmung der Arbeitnehmer bei einer grenzüberschreitenden Verschmelzung</w:t>
      </w:r>
    </w:p>
    <w:p>
      <w:r>
        <w:rPr>
          <w:color w:val="555555"/>
          <w:sz w:val="18"/>
        </w:rPr>
        <w:t xml:space="preserve">Stand: 10.06.2019 (konsolidierte Textfassung, kein amtliches Inkrafttretensdatum)</w:t>
      </w:r>
    </w:p>
    <w:p>
      <w:r>
        <w:t xml:space="preserve">(1) In der schriftlichen Vereinbarung zwischen den Leitungen und dem besonderen Verhandlungsgremium wird, unbeschadet der Autonomie der Parteien im Übrigen, festgelegt:</w:t>
      </w:r>
    </w:p>
    <w:p>
      <w:pPr>
        <w:ind w:left="420"/>
      </w:pPr>
      <w:r>
        <w:t xml:space="preserve">1. der Geltungsbereich der Vereinbarung, einschließlich der außerhalb des Hoheitsgebietes der Mitgliedstaaten liegenden Unternehmen und Betriebe, sofern diese in den Geltungsbereich einbezogen werden;</w:t>
      </w:r>
    </w:p>
    <w:p>
      <w:pPr>
        <w:ind w:left="420"/>
      </w:pPr>
      <w:r>
        <w:t xml:space="preserve">2. der Zeitpunkt des Inkrafttretens der Vereinbarung und ihre Laufzeit; ferner die Fälle, in denen die Vereinbarung neu ausgehandelt werden soll, und das dabei anzuwendende Verfahren;</w:t>
      </w:r>
    </w:p>
    <w:p>
      <w:pPr>
        <w:ind w:left="420"/>
      </w:pPr>
      <w:r>
        <w:t xml:space="preserve">3. die Zahl der Mitglieder des Aufsichts- oder Verwaltungsorgans der aus der grenzüberschreitenden Verschmelzung hervorgehenden Gesellschaft, welche die Arbeitnehmer wählen oder bestellen können oder deren Bestellung sie empfehlen oder ablehnen können;</w:t>
      </w:r>
    </w:p>
    <w:p>
      <w:pPr>
        <w:ind w:left="420"/>
      </w:pPr>
      <w:r>
        <w:t xml:space="preserve">4. das Verfahren, nach dem die Arbeitnehmer diese Mitglieder wählen oder bestellen oder deren Bestellung empfehlen oder ablehnen können, und</w:t>
      </w:r>
    </w:p>
    <w:p>
      <w:pPr>
        <w:ind w:left="420"/>
      </w:pPr>
      <w:r>
        <w:t xml:space="preserve">5. die Rechte dieser Mitglieder.</w:t>
      </w:r>
    </w:p>
    <w:p>
      <w:r>
        <w:t xml:space="preserve">(2) In der Vereinbarung soll festgelegt werden, dass auch vor strukturellen Änderungen der aus der grenzüberschreitenden Verschmelzung hervorgehenden Gesellschaft Verhandlungen über die Mitbestimmung der Arbeitnehmer aufgenommen werden. Die Parteien können das dabei anzuwendende Verfahren regeln.</w:t>
      </w:r>
    </w:p>
    <w:p>
      <w:r>
        <w:t xml:space="preserve">(3) Die Vereinbarung kann bestimmen, dass die Regelungen der §§ 23 bis 27 über die Mitbestimmung kraft Gesetzes ganz oder in Teilen gelten.</w:t>
      </w:r>
    </w:p>
    <w:p>
      <w:r>
        <w:t xml:space="preserve">(4) Steht die Satzung der aus einer grenzüberschreitenden Verschmelzung hervorgehenden Gesellschaft im Widerspruch zu den Regelungen über die Mitbestimmung kraft Vereinbarung, ist die Satzung anzupassen.</w:t>
      </w:r>
    </w:p>
    <w:p>
      <w:r>
        <w:rPr>
          <w:color w:val="555555"/>
          <w:sz w:val="17"/>
        </w:rPr>
        <w:t xml:space="preserve">Zitiervorschlag: § 22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