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MgVG — Kosten des besonderen Verhandlungsgremiums</w:t>
      </w:r>
    </w:p>
    <w:p>
      <w:r>
        <w:rPr>
          <w:color w:val="555555"/>
          <w:sz w:val="18"/>
        </w:rPr>
        <w:t xml:space="preserve">Gesetz über die Mitbestimmung der Arbeitnehmer bei einer grenzüberschreitenden Verschmelzung</w:t>
      </w:r>
    </w:p>
    <w:p>
      <w:r>
        <w:rPr>
          <w:color w:val="555555"/>
          <w:sz w:val="18"/>
        </w:rPr>
        <w:t xml:space="preserve">Stand: 10.06.2019 (konsolidierte Textfassung, kein amtliches Inkrafttretensdatum)</w:t>
      </w:r>
    </w:p>
    <w:p>
      <w:r>
        <w:t xml:space="preserve">Die durch die Bildung und Tätigkeit des besonderen Verhandlungsgremiums entstehenden erforderlichen Kosten tragen die beteiligten Gesellschaften und nach ihrer Verschmelzung die aus der grenzüberschreitenden Verschmelzung hervorgehende Gesellschaft als Gesamtschuldner. Insbesondere sind für die Sitzungen in erforderlichem Umfang Räume, sachliche Mittel, Dolmetscher und Büropersonal zur Verfügung zu stellen sowie die erforderlichen Reise- und Aufenthaltskosten der Mitglieder des besonderen Verhandlungsgremiums zu tragen.</w:t>
      </w:r>
    </w:p>
    <w:p>
      <w:r>
        <w:rPr>
          <w:color w:val="555555"/>
          <w:sz w:val="17"/>
        </w:rPr>
        <w:t xml:space="preserve">Zitiervorschlag: § 20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