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MgVG — Sachverständige und Vertreter von geeigneten außenstehenden Organisationen</w:t>
      </w:r>
    </w:p>
    <w:p>
      <w:r>
        <w:rPr>
          <w:color w:val="555555"/>
          <w:sz w:val="18"/>
        </w:rPr>
        <w:t xml:space="preserve">Gesetz über die Mitbestimmung der Arbeitnehmer bei einer grenzüberschreitenden Verschmelzung</w:t>
      </w:r>
    </w:p>
    <w:p>
      <w:r>
        <w:rPr>
          <w:color w:val="555555"/>
          <w:sz w:val="18"/>
        </w:rPr>
        <w:t xml:space="preserve">Stand: 31.01.2023 (konsolidierte Textfassung, kein amtliches Inkrafttretensdatum)</w:t>
      </w:r>
    </w:p>
    <w:p>
      <w:r>
        <w:t xml:space="preserve">(1) Das besondere Verhandlungsgremium kann bei den Verhandlungen Sachverständige seiner Wahl, zu denen auch Vertreter von einschlägigen Gewerkschaftsorganisationen auf Unionsebene zählen können, hinzuziehen, um sich von ihnen bei seiner Arbeit unterstützen zu lassen. Diese Sachverständigen können, wenn das besondere Verhandlungsgremium es wünscht, an den Verhandlungen in beratender Funktion teilnehmen.</w:t>
      </w:r>
    </w:p>
    <w:p>
      <w:r>
        <w:t xml:space="preserve">(2) Das besondere Verhandlungsgremium kann beschließen, die Vertreter von geeigneten außenstehenden Organisationen vom Beginn der Verhandlungen zu unterrichten.</w:t>
      </w:r>
    </w:p>
    <w:p>
      <w:r>
        <w:rPr>
          <w:color w:val="555555"/>
          <w:sz w:val="17"/>
        </w:rPr>
        <w:t xml:space="preserve">Zitiervorschlag: § 16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