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MgVG — Information über die Mitglieder des besonderen Verhandlungsgremiums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 oder Bestellung der Mitglieder des besonderen Verhandlungsgremiums soll innerhalb von zehn Wochen nach der in § 6 Abs. 2 und 3 vorgeschriebenen Information erfolgen. Den Leitungen sind unverzüglich die Namen der Mitglieder des besonderen Verhandlungsgremiums, ihre Anschriften sowie die jeweilige Betriebszugehörigkeit mitzuteilen. Die Leitungen haben die örtlichen Betriebs- und Unternehmensleitungen, die dort bestehenden Arbeitnehmervertretungen und Sprecherausschüsse sowie die in inländischen Betrieben vertretenen Gewerkschaften über diese Angaben zu informieren.</w:t>
      </w:r>
    </w:p>
    <w:p>
      <w:r>
        <w:t xml:space="preserve">(2) Das Verhandlungsverfahren nach den §§ 14 bis 19 findet auch dann statt, wenn die in Absatz 1 Satz 1 genannte Frist aus Gründen, die die Arbeitnehmer zu vertreten haben, überschritten wird. Nach Ablauf der Frist gewählte oder bestellte Mitglieder können sich jederzeit an dem Verhandlungsverfahren beteiligen.</w:t>
      </w:r>
    </w:p>
    <w:p>
      <w:r>
        <w:rPr>
          <w:color w:val="555555"/>
          <w:sz w:val="17"/>
        </w:rPr>
        <w:t xml:space="preserve">Zitiervorschlag: § 13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