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MgVG — Wahl der Mitglieder des besonderen Verhandlungsgremiums</w:t>
      </w:r>
    </w:p>
    <w:p>
      <w:r>
        <w:rPr>
          <w:color w:val="555555"/>
          <w:sz w:val="18"/>
        </w:rPr>
        <w:t xml:space="preserve">Gesetz über die Mitbestimmung der Arbeitnehmer bei einer grenzüberschreitenden Verschmelzung</w:t>
      </w:r>
    </w:p>
    <w:p>
      <w:r>
        <w:rPr>
          <w:color w:val="555555"/>
          <w:sz w:val="18"/>
        </w:rPr>
        <w:t xml:space="preserve">Stand: 10.06.2019 (konsolidierte Textfassung, kein amtliches Inkrafttretensdatum)</w:t>
      </w:r>
    </w:p>
    <w:p>
      <w:r>
        <w:t xml:space="preserve">(1) Bei der Wahl müssen mindestens zwei Drittel der Mitglieder des Wahlgremiums, die mindestens zwei Drittel der Arbeitnehmer vertreten, anwesend sein. Die Mitglieder des Wahlgremiums haben jeweils so viele Stimmen, wie sie Arbeitnehmer vertreten. Die Wahl erfolgt mit einfacher Mehrheit der abgegebenen Stimmen.</w:t>
      </w:r>
    </w:p>
    <w:p>
      <w:r>
        <w:t xml:space="preserve">(2) Im Wahlgremium vertreten die Arbeitnehmervertretungen und die in Urwahl gewählten Mitglieder jeweils alle Arbeitnehmer der organisatorischen Einheit, für die sie nach § 10 Abs. 2 bis 5 zuständig sind. Nicht nach Satz 1 vertretene Arbeitnehmer werden den Arbeitnehmervertretungen innerhalb der jeweiligen Unternehmensgruppe zu gleichen Teilen zugerechnet.</w:t>
      </w:r>
    </w:p>
    <w:p>
      <w:r>
        <w:t xml:space="preserve">(3) Sind für eine Arbeitnehmervertretung mehrere Mitglieder im Wahlgremium vertreten, werden die entsprechend der von ihnen vertretenen Arbeitnehmer bestehenden Stimmenanteile gleichmäßig aufgeteilt. Dies gilt auch für die nach § 10 Abs. 5 Satz 3 gewählten Mitglieder des Wahlgremiums.</w:t>
      </w:r>
    </w:p>
    <w:p>
      <w:r>
        <w:rPr>
          <w:color w:val="555555"/>
          <w:sz w:val="17"/>
        </w:rPr>
        <w:t xml:space="preserve">Zitiervorschlag: § 12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