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MgVG — Zielsetzung des Gesetzes</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(1) Das Gesetz regelt die Mitbestimmung der Arbeitnehmer (Arbeitnehmerinnen und Arbeitnehmer) in den Unternehmensorganen der aus einer grenzüberschreitenden Verschmelzung hervorgehenden Gesellschaft. Ziel des Gesetzes ist, die in den an der Verschmelzung beteiligten Gesellschaften erworbenen Mitbestimmungsrechte der Arbeitnehmer zu sichern. Diese Rechte sind maßgeblich für die Ausgestaltung der Mitbestimmung in der aus einer grenzüberschreitenden Verschmelzung hervorgehenden Gesellschaft.</w:t>
      </w:r>
    </w:p>
    <w:p>
      <w:r>
        <w:t xml:space="preserve">(2) Wenn das nationale Recht des Mitgliedstaats, in dem die aus einer grenzüberschreitenden Verschmelzung hervorgehende Gesellschaft ihren Sitz hat, keinen ausreichenden Schutz zur Sicherung der Mitbestimmung der Arbeitnehmer gewährt, wird eine Vereinbarung über die Mitbestimmung der Arbeitnehmer in der aus einer grenzüberschreitenden Verschmelzung hervorgehenden Gesellschaft getroffen. Kommt es nicht zu einer Vereinbarung, wird die Mitbestimmung der Arbeitnehmer kraft Gesetzes sichergestellt.</w:t>
      </w:r>
    </w:p>
    <w:p>
      <w:r>
        <w:t xml:space="preserve">(3) Die Vorschriften dieses Gesetzes sowie die nach Absatz 2 zu treffende Vereinbarung sind so auszulegen, dass das Ziel der Europäischen Union, die Mitbestimmung der Arbeitnehmer in der aus einer grenzüberschreitenden Verschmelzung hervorgehenden Gesellschaft sicherzustellen, gefördert wird.</w:t>
      </w:r>
    </w:p>
    <w:p>
      <w:r>
        <w:rPr>
          <w:color w:val="555555"/>
          <w:sz w:val="17"/>
        </w:rPr>
        <w:t xml:space="preserve">Zitiervorschlag: § 1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