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MgFSG — Persönliche Voraussetzungen der auf das Inland entfallenden Mitglieder des besonderen Verhandlungsgremiums</w:t>
      </w:r>
    </w:p>
    <w:p>
      <w:r>
        <w:rPr>
          <w:color w:val="555555"/>
          <w:sz w:val="18"/>
        </w:rPr>
        <w:t xml:space="preserve">Gesetz über die Mitbestimmung der Arbeitnehmer bei grenzüberschreitendem Formwechsel und grenzüberschreitender Spaltung</w:t>
      </w:r>
    </w:p>
    <w:p>
      <w:r>
        <w:rPr>
          <w:color w:val="555555"/>
          <w:sz w:val="18"/>
        </w:rPr>
        <w:t xml:space="preserve">Stand: 31.01.2023 (konsolidierte Textfassung, kein amtliches Inkrafttretensdatum)</w:t>
      </w:r>
    </w:p>
    <w:p>
      <w:r>
        <w:t xml:space="preserve">(1) Die persönlichen Voraussetzungen der Mitglieder des besonderen Verhandlungsgremiums richten sich nach den jeweiligen Bestimmungen der Mitgliedstaaten, in denen sie gewählt oder bestellt werden.</w:t>
      </w:r>
    </w:p>
    <w:p>
      <w:r>
        <w:t xml:space="preserve">(2) Zu Mitgliedern des besonderen Verhandlungsgremiums können im Inland nur Arbeitnehmer der formwechselnden oder der sich spaltenden Gesellschaft, der betroffenen Tochtergesellschaften und der betroffenen Betriebe sowie Gewerkschaftsvertreter gewählt werden. Frauen und Männer sollen entsprechend ihrem zahlenmäßigen Verhältnis in der jeweiligen Belegschaft gewählt werden. Für jedes Mitglied ist ein Ersatzmitglied zu wählen.</w:t>
      </w:r>
    </w:p>
    <w:p>
      <w:r>
        <w:t xml:space="preserve">(3) Gehören dem besonderen Verhandlungsgremium mehr als zwei Mitglieder aus dem Inland an, so muss jedes dritte Mitglied ein Gewerkschaftsvertreter einer solchen Gewerkschaft sein, die in der formwechselnden oder der sich spaltenden Gesellschaft, den betroffenen Tochtergesellschaften oder den betroffenen Betrieben vertreten ist.</w:t>
      </w:r>
    </w:p>
    <w:p>
      <w:r>
        <w:t xml:space="preserve">(4) Gehören dem besonderen Verhandlungsgremium mehr als sechs Mitglieder aus dem Inland an, muss mindestens jedes siebte Mitglied ein leitender Angestellter sein.</w:t>
      </w:r>
    </w:p>
    <w:p>
      <w:r>
        <w:rPr>
          <w:color w:val="555555"/>
          <w:sz w:val="17"/>
        </w:rPr>
        <w:t xml:space="preserve">Zitiervorschlag: § 9 MgFSG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https://recht.nulegal.eu/gesetze/MgFSG/9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