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MgFSG — Zusammensetzung des besonderen Verhandlungsgremiums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Für die in jedem Mitgliedstaat beschäftigten Arbeitnehmer der formwechselnden oder der sich spaltenden Gesellschaft, der betroffenen Tochtergesellschaften und der betroffenen Betriebe werden Mitglieder für das besondere Verhandlungsgremium gewählt oder bestellt. Für jeden Anteil der in einem Mitgliedstaat beschäftigten Arbeitnehmer, der 10 Prozent der Gesamtzahl der in allen Mitgliedstaaten beschäftigten Arbeitnehmer der formwechselnden oder der sich spaltenden Gesellschaft und der betroffenen Tochtergesellschaften oder der betroffenen Betriebe oder einen Bruchteil davon beträgt, ist ein Mitglied aus diesem Mitgliedstaat in das besondere Verhandlungsgremium zu wählen oder zu bestellen.</w:t>
      </w:r>
    </w:p>
    <w:p>
      <w:r>
        <w:t xml:space="preserve">(2) Treten während der Tätigkeitsdauer des besonderen Verhandlungsgremiums Änderungen in der Struktur oder in der Arbeitnehmerzahl der formwechselnden oder der sich spaltenden Gesellschaft, der betroffenen Tochtergesellschaften oder der betroffenen Betriebe ein und würde sich dadurch die konkrete Zusammensetzung des besonderen Verhandlungsgremiums ändern, so ist das besondere Verhandlungsgremium entsprechend neu zusammenzusetzen. Über solche Änderungen hat die zuständige Leitung das besondere Verhandlungsgremium unverzüglich zu informieren. § 6 Absatz 2 bis 4 gilt entsprechend.</w:t>
      </w:r>
    </w:p>
    <w:p>
      <w:r>
        <w:rPr>
          <w:color w:val="555555"/>
          <w:sz w:val="17"/>
        </w:rPr>
        <w:t xml:space="preserve">Zitiervorschlag: § 8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