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MgFSG — Bußgeldvorschriften</w:t>
      </w:r>
    </w:p>
    <w:p>
      <w:r>
        <w:rPr>
          <w:color w:val="555555"/>
          <w:sz w:val="18"/>
        </w:rPr>
        <w:t xml:space="preserve">Gesetz über die Mitbestimmung der Arbeitnehmer bei grenzüberschreitendem Formwechsel und grenzüberschreitender Spaltung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(1) Ordnungswidrig handelt, wer entgegen § 6 Absatz 2 oder § 8 Absatz 2 Satz 2 eine Information nicht, nicht richtig, nicht vollständig oder nicht rechtzeitig gibt.</w:t>
      </w:r>
    </w:p>
    <w:p>
      <w:r>
        <w:t xml:space="preserve">(2) Die Ordnungswidrigkeit kann mit einer Geldbuße bis zu zwanzigtausend Euro geahndet werden.</w:t>
      </w:r>
    </w:p>
    <w:p>
      <w:r>
        <w:rPr>
          <w:color w:val="555555"/>
          <w:sz w:val="17"/>
        </w:rPr>
        <w:t xml:space="preserve">Zitiervorschlag: § 39 MgFSG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https://recht.nulegal.eu/gesetze/MgFSG/39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