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MgFSG — Weitergeltung von Regelungen zur Mitbestimmung</w:t>
      </w:r>
    </w:p>
    <w:p>
      <w:r>
        <w:rPr>
          <w:color w:val="555555"/>
          <w:sz w:val="18"/>
        </w:rPr>
        <w:t xml:space="preserve">Gesetz über die Mitbestimmung der Arbeitnehmer bei grenzüberschreitendem Formwechsel und grenzüberschreitender Spaltung</w:t>
      </w:r>
    </w:p>
    <w:p>
      <w:r>
        <w:rPr>
          <w:color w:val="555555"/>
          <w:sz w:val="18"/>
        </w:rPr>
        <w:t xml:space="preserve">Stand: 31.01.2023 (konsolidierte Textfassung, kein amtliches Inkrafttretensdatum)</w:t>
      </w:r>
    </w:p>
    <w:p>
      <w:r>
        <w:t xml:space="preserve">Die Regelungen über die Mitbestimmung der Arbeitnehmer in der formwechselnden oder der sich spaltenden Gesellschaft, die vor dem grenzüberschreitenden Vorhaben galten, bleiben bis zum Inkrafttreten einer Vereinbarung nach Kapitel 1 oder bis zur Anwendung der Regelungen über die Mitbestimmung kraft Gesetzes nach Kapitel 2 von den Vorschriften dieses Gesetzes unberührt.</w:t>
      </w:r>
    </w:p>
    <w:p>
      <w:r>
        <w:rPr>
          <w:color w:val="555555"/>
          <w:sz w:val="17"/>
        </w:rPr>
        <w:t xml:space="preserve">Zitiervorschlag: § 31 MgFSG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https://recht.nulegal.eu/gesetze/MgFSG/31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