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MgFSG — Tendenzunternehmen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Kapitel 2 findet keine Anwendung auf eine aus einem grenzüberschreitenden Vorhaben hervorgehende Gesellschaft, die unmittelbar und überwiegend folgenden Bestimmungen oder Zwecken dient:</w:t>
      </w:r>
    </w:p>
    <w:p>
      <w:pPr>
        <w:ind w:left="420"/>
      </w:pPr>
      <w:r>
        <w:t xml:space="preserve">1. politischen, koalitionspolitischen, konfessionellen, karitativen, erzieherischen, wissenschaftlichen oder künstlerischen Bestimmungen oder</w:t>
      </w:r>
    </w:p>
    <w:p>
      <w:pPr>
        <w:ind w:left="420"/>
      </w:pPr>
      <w:r>
        <w:t xml:space="preserve">2. Zwecken der Berichterstattung oder Meinungsäußerung, auf die Artikel 5 Absatz 1 Satz 2 des Grundgesetzes anzuwenden ist.</w:t>
      </w:r>
    </w:p>
    <w:p>
      <w:r>
        <w:rPr>
          <w:color w:val="555555"/>
          <w:sz w:val="17"/>
        </w:rPr>
        <w:t xml:space="preserve">Zitiervorschlag: § 30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