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MgFSG — Geltungsbereich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(1) Dieses Gesetz gilt für eine aus einem grenzüberschreitenden Vorhaben hervorgehende Gesellschaft mit Sitz im Inland. Unabhängig vom Sitz dieser Gesellschaft gilt dieses Gesetz auch</w:t>
      </w:r>
    </w:p>
    <w:p>
      <w:pPr>
        <w:ind w:left="420"/>
      </w:pPr>
      <w:r>
        <w:t xml:space="preserve">1. für im Inland beschäftigte Arbeitnehmer der aus einem grenzüberschreitenden Vorhaben hervorgehenden Gesellschaft,</w:t>
      </w:r>
    </w:p>
    <w:p>
      <w:pPr>
        <w:ind w:left="420"/>
      </w:pPr>
      <w:r>
        <w:t xml:space="preserve">2. für die formwechselnde oder sich spaltende Gesellschaft mit Sitz im Inland und</w:t>
      </w:r>
    </w:p>
    <w:p>
      <w:pPr>
        <w:ind w:left="420"/>
      </w:pPr>
      <w:r>
        <w:t xml:space="preserve">3. für betroffene Tochtergesellschaften und betroffene Betriebe im Inland.</w:t>
      </w:r>
    </w:p>
    <w:p>
      <w:r>
        <w:t xml:space="preserve">(2) Mitgliedstaaten im Sinne dieses Gesetzes sind die Mitgliedstaaten der Europäischen Union und die anderen Vertragsstaaten des Abkommens über den Europäischen Wirtschaftsraum.</w:t>
      </w:r>
    </w:p>
    <w:p>
      <w:r>
        <w:rPr>
          <w:color w:val="555555"/>
          <w:sz w:val="17"/>
        </w:rPr>
        <w:t xml:space="preserve">Zitiervorschlag: § 3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