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MgFSG — Rechtsstellung; Innere Ordnung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Die Arbeitnehmervertreter im Aufsichtsorgan der aus dem grenzüberschreitenden Vorhaben hervorgehenden Gesellschaft haben die gleichen Rechte und Pflichten wie die Mitglieder, die die Anteilseigner vertreten.</w:t>
      </w:r>
    </w:p>
    <w:p>
      <w:r>
        <w:t xml:space="preserve">(2) Die Zahl der Mitglieder der Leitung beträgt mindestens zwei. Ein Mitglied der Leitung ist für den Bereich Arbeit und Soziales zuständig. Die Sätze 1 und 2 gelten nicht für die Kommanditgesellschaft auf Aktien.</w:t>
      </w:r>
    </w:p>
    <w:p>
      <w:r>
        <w:rPr>
          <w:color w:val="555555"/>
          <w:sz w:val="17"/>
        </w:rPr>
        <w:t xml:space="preserve">Zitiervorschlag: § 29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