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MgFSG — Umfang der Mitbestimmung</w:t>
      </w:r>
    </w:p>
    <w:p>
      <w:r>
        <w:rPr>
          <w:color w:val="555555"/>
          <w:sz w:val="18"/>
        </w:rPr>
        <w:t xml:space="preserve">Gesetz über die Mitbestimmung der Arbeitnehmer bei grenzüberschreitendem Formwechsel und grenzüberschreitender Spaltung</w:t>
      </w:r>
    </w:p>
    <w:p>
      <w:r>
        <w:rPr>
          <w:color w:val="555555"/>
          <w:sz w:val="18"/>
        </w:rPr>
        <w:t xml:space="preserve">Stand: 31.01.2023 (konsolidierte Textfassung, kein amtliches Inkrafttretensdatum)</w:t>
      </w:r>
    </w:p>
    <w:p>
      <w:r>
        <w:t xml:space="preserve">(1) Alle Komponenten der Mitbestimmung der Arbeitnehmer, die vor dem grenzüberschreitenden Vorhaben bestanden, bleiben in der hervorgehenden Gesellschaft erhalten.</w:t>
      </w:r>
    </w:p>
    <w:p>
      <w:r>
        <w:t xml:space="preserve">(2) Handelt es sich bei der aus einem grenzüberschreitenden Vorhaben hervorgehenden Gesellschaft nach Absatz 1 um eine Gesellschaft mit beschränkter Haftung, so ist in dieser Gesellschaft ein Aufsichtsrat zu bilden. § 90 Absatz 3, 4 und 5 Satz 1 und 2, die §§ 95 bis 116, 118 Absatz 3, § 125 Absatz 3 und 4 und die §§ 170, 171, 268 Absatz 2 des Aktiengesetzes sind entsprechend anzuwenden, soweit nicht in den Vorschriften dieses Gesetzes etwas anderes bestimmt ist.</w:t>
      </w:r>
    </w:p>
    <w:p>
      <w:r>
        <w:t xml:space="preserve">(3) Steht die Satzung der aus einem grenzüberschreitenden Vorhaben hervorgehenden Gesellschaft im Widerspruch zu den Regelungen über die Mitbestimmung kraft Gesetzes, so ist die Satzung anzupassen.</w:t>
      </w:r>
    </w:p>
    <w:p>
      <w:r>
        <w:rPr>
          <w:color w:val="555555"/>
          <w:sz w:val="17"/>
        </w:rPr>
        <w:t xml:space="preserve">Zitiervorschlag: § 26 MgFSG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https://recht.nulegal.eu/gesetze/MgFSG/26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