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MgFSG — Voraussetzung</w:t>
      </w:r>
    </w:p>
    <w:p>
      <w:r>
        <w:rPr>
          <w:color w:val="555555"/>
          <w:sz w:val="18"/>
        </w:rPr>
        <w:t xml:space="preserve">Gesetz über die Mitbestimmung der Arbeitnehmer bei grenzüberschreitendem Formwechsel und grenzüberschreitender Spaltung</w:t>
      </w:r>
    </w:p>
    <w:p>
      <w:r>
        <w:rPr>
          <w:color w:val="555555"/>
          <w:sz w:val="18"/>
        </w:rPr>
        <w:t xml:space="preserve">Stand: 31.01.2023 (konsolidierte Textfassung, kein amtliches Inkrafttretensdatum)</w:t>
      </w:r>
    </w:p>
    <w:p>
      <w:r>
        <w:t xml:space="preserve">Die Regelungen dieses Kapitels finden ab dem Zeitpunkt der Eintragung der aus dem grenzüberschreitenden Vorhaben hervorgehenden Gesellschaft Anwendung, wenn</w:t>
      </w:r>
    </w:p>
    <w:p>
      <w:pPr>
        <w:ind w:left="420"/>
      </w:pPr>
      <w:r>
        <w:t xml:space="preserve">1. die Parteien dies vereinbaren oder</w:t>
      </w:r>
    </w:p>
    <w:p>
      <w:pPr>
        <w:ind w:left="420"/>
      </w:pPr>
      <w:r>
        <w:t xml:space="preserve">2. bis zum Ende des in § 23 angegebenen Zeitraums keine Vereinbarung zustande gekommen ist und das besondere Verhandlungsgremium keinen Beschluss nach § 19 gefasst hat.</w:t>
      </w:r>
    </w:p>
    <w:p>
      <w:r>
        <w:rPr>
          <w:color w:val="555555"/>
          <w:sz w:val="17"/>
        </w:rPr>
        <w:t xml:space="preserve">Zitiervorschlag: § 25 MgFSG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https://recht.nulegal.eu/gesetze/MgFSG/25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