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MgFSG — Beschlussfassung im besonderen Verhandlungsgremium</w:t>
      </w:r>
    </w:p>
    <w:p>
      <w:r>
        <w:rPr>
          <w:color w:val="555555"/>
          <w:sz w:val="18"/>
        </w:rPr>
        <w:t xml:space="preserve">Gesetz über die Mitbestimmung der Arbeitnehmer bei grenzüberschreitendem Formwechsel und grenzüberschreitender Spaltung</w:t>
      </w:r>
    </w:p>
    <w:p>
      <w:r>
        <w:rPr>
          <w:color w:val="555555"/>
          <w:sz w:val="18"/>
        </w:rPr>
        <w:t xml:space="preserve">Stand: 31.01.2023 (konsolidierte Textfassung, kein amtliches Inkrafttretensdatum)</w:t>
      </w:r>
    </w:p>
    <w:p>
      <w:r>
        <w:t xml:space="preserve">(1) Die Mitglieder des besonderen Verhandlungsgremiums, die in einem Mitgliedstaat gewählt oder bestellt werden, vertreten alle in dem jeweiligen Mitgliedstaat beschäftigten Arbeitnehmer. Solange aus einem Mitgliedstaat keine Mitglieder in das besondere Verhandlungsgremium gewählt oder bestellt sind (§ 14 Absatz 2), gelten die betroffenen Arbeitnehmer als nicht vertreten.</w:t>
      </w:r>
    </w:p>
    <w:p>
      <w:r>
        <w:t xml:space="preserve">(2) Das besondere Verhandlungsgremium beschließt vorbehaltlich des § 19 mit der Mehrheit seiner Mitglieder, in der zugleich die Mehrheit der vertretenen Arbeitnehmer enthalten sein muss. Jedes auf das Inland entfallende Mitglied vertritt gleich viele Arbeitnehmer.</w:t>
      </w:r>
    </w:p>
    <w:p>
      <w:r>
        <w:rPr>
          <w:color w:val="555555"/>
          <w:sz w:val="17"/>
        </w:rPr>
        <w:t xml:space="preserve">Zitiervorschlag: § 18 MgFSG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https://recht.nulegal.eu/gesetze/MgFSG/18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