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MgFSG — Zusammenarbeit zwischen besonderem Verhandlungsgremium und Leitung</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Das besondere Verhandlungsgremium schließt mit der Leitung eine schriftliche Vereinbarung über die Mitbestimmung der Arbeitnehmer in der aus dem grenzüberschreitenden Vorhaben hervorgehenden Gesellschaft ab. Zur Erfüllung dieser Aufgabe arbeiten das besondere Verhandlungsgremium und die Leitung vertrauensvoll zusammen.</w:t>
      </w:r>
    </w:p>
    <w:p>
      <w:r>
        <w:t xml:space="preserve">(2) Die Leitung hat dem besonderen Verhandlungsgremium rechtzeitig alle erforderlichen Auskünfte zu erteilen und die erforderlichen Unterlagen zur Verfügung zu stellen. Das besondere Verhandlungsgremium ist insbesondere über das grenzüberschreitende Vorhaben und den Verlauf des Verfahrens bis zur Eintragung der hervorgehenden Gesellschaft zu unterrichten.</w:t>
      </w:r>
    </w:p>
    <w:p>
      <w:r>
        <w:t xml:space="preserve">(3) Zeitpunkt, Häufigkeit und Ort der Verhandlungen werden von der Leitung und dem besonderen Verhandlungsgremium einvernehmlich festgelegt.</w:t>
      </w:r>
    </w:p>
    <w:p>
      <w:r>
        <w:rPr>
          <w:color w:val="555555"/>
          <w:sz w:val="17"/>
        </w:rPr>
        <w:t xml:space="preserve">Zitiervorschlag: § 16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