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MgFSG — Sitzungen; Geschäftsordnung</w:t>
      </w:r>
    </w:p>
    <w:p>
      <w:r>
        <w:rPr>
          <w:color w:val="555555"/>
          <w:sz w:val="18"/>
        </w:rPr>
        <w:t xml:space="preserve">Gesetz über die Mitbestimmung der Arbeitnehmer bei grenzüberschreitendem Formwechsel und grenzüberschreitender Spaltung</w:t>
      </w:r>
    </w:p>
    <w:p>
      <w:r>
        <w:rPr>
          <w:color w:val="555555"/>
          <w:sz w:val="18"/>
        </w:rPr>
        <w:t xml:space="preserve">Stand: 31.01.2023 (konsolidierte Textfassung, kein amtliches Inkrafttretensdatum)</w:t>
      </w:r>
    </w:p>
    <w:p>
      <w:r>
        <w:t xml:space="preserve">(1) Die Leitung lädt unverzüglich nach Benennung der Mitglieder oder im Fall des § 14 Absatz 2 nach Ablauf der in § 14 Absatz 1 Satz 1 genannten Frist zur konstituierenden Sitzung des besonderen Verhandlungsgremiums ein und informiert die örtlichen Betriebs- und Unternehmensleitungen.</w:t>
      </w:r>
    </w:p>
    <w:p>
      <w:r>
        <w:t xml:space="preserve">(2) Das besondere Verhandlungsgremium wählt aus seiner Mitte eine Person für den Vorsitz und mindestens zwei Personen für die Stellvertretung. Es kann sich eine schriftliche Geschäftsordnung geben.</w:t>
      </w:r>
    </w:p>
    <w:p>
      <w:r>
        <w:t xml:space="preserve">(3) Die oder der Vorsitzende kann weitere Sitzungen einberufen.</w:t>
      </w:r>
    </w:p>
    <w:p>
      <w:r>
        <w:rPr>
          <w:color w:val="555555"/>
          <w:sz w:val="17"/>
        </w:rPr>
        <w:t xml:space="preserve">Zitiervorschlag: § 15 MgFSG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https://recht.nulegal.eu/gesetze/MgFSG/15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