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MgFSG — Verteilung der auf das Inland entfallenden Sitze des besonderen Verhandlungsgremiums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Die Wahl oder Bestellung der Mitglieder des besonderen Verhandlungsgremiums nach § 8 erfolgt nach den jeweiligen Bestimmungen der Mitgliedstaaten.</w:t>
      </w:r>
    </w:p>
    <w:p>
      <w:r>
        <w:t xml:space="preserve">(2) Die auf das Inland entfallenden Sitze des besonderen Verhandlungsgremiums sollen auf die formwechselnde oder die sich spaltende Gesellschaft mit Sitz im Inland sowie auf möglichst viele Tochtergesellschaften und Betriebe, die im Inland betroffen sind, verteilt werden.</w:t>
      </w:r>
    </w:p>
    <w:p>
      <w:r>
        <w:t xml:space="preserve">(3) Sofern bei einer grenzüberschreitenden Spaltung Tochtergesellschaften oder Betriebe im Inland betroffen sind, muss mindestens ein auf das Inland entfallendes Mitglied des besonderen Verhandlungsgremiums Arbeitnehmer einer betroffenen Tochtergesellschaft oder eines betroffenen Betriebs sein.</w:t>
      </w:r>
    </w:p>
    <w:p>
      <w:r>
        <w:rPr>
          <w:color w:val="555555"/>
          <w:sz w:val="17"/>
        </w:rPr>
        <w:t xml:space="preserve">Zitiervorschlag: § 10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