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MgFSG — Zielsetzung des Gesetzes</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Das Gesetz regelt die Mitbestimmung der Arbeitnehmer (Arbeitnehmerinnen und Arbeitnehmer) in den Unternehmensorganen einer aus einem grenzüberschreitenden Formwechsel oder aus einer grenzüberschreitenden Spaltung hervorgehenden Gesellschaft. Ziel des Gesetzes ist, die in der formwechselnden oder in der sich spaltenden Gesellschaft erworbenen Mitbestimmungsrechte der Arbeitnehmer zu sichern. Hierzu soll eine Vereinbarung über die Mitbestimmung aller Arbeitnehmer der aus dem grenzüberschreitenden Vorhaben hervorgehenden Gesellschaft getroffen werden. Kommt es nicht zu einer Vereinbarung, wird die Mitbestimmung der Arbeitnehmer kraft Gesetzes sichergestellt.</w:t>
      </w:r>
    </w:p>
    <w:p>
      <w:r>
        <w:t xml:space="preserve">(2) Das grenzüberschreitende Vorhaben darf nicht dazu missbraucht werden, Arbeitnehmern Mitbestimmungsrechte zu entziehen oder vorzuenthalten. Die Vorschriften dieses Gesetzes sowie die nach Absatz 1 zu treffende Vereinbarung sind so auszulegen, dass die Mitbestimmung der Arbeitnehmer in der aus dem grenzüberschreitenden Vorhaben hervorgehenden Gesellschaft gesichert und gefördert wird.</w:t>
      </w:r>
    </w:p>
    <w:p>
      <w:r>
        <w:rPr>
          <w:color w:val="555555"/>
          <w:sz w:val="17"/>
        </w:rPr>
        <w:t xml:space="preserve">Zitiervorschlag: § 1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