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MfnvV</w:t>
      </w:r>
    </w:p>
    <w:p>
      <w:r>
        <w:rPr>
          <w:color w:val="555555"/>
          <w:sz w:val="18"/>
        </w:rPr>
        <w:t xml:space="preserve">Mobilfunknetzvorausschauverordnung</w:t>
      </w:r>
    </w:p>
    <w:p>
      <w:r>
        <w:rPr>
          <w:color w:val="555555"/>
          <w:sz w:val="18"/>
        </w:rPr>
        <w:t xml:space="preserve">Historische Fassung: Stand 22.05.2021 bis 01.12.2021. Dies ist nicht die aktuelle Fassung.</w:t>
      </w:r>
    </w:p>
    <w:p>
      <w:r>
        <w:t xml:space="preserve">Auf Grund des § 77r des Telekommunikationsgesetzes, der durch Artikel 1 Nummer 7 des Gesetzes vom 5. Dezember 2019 (BGBl. I S. 2005) eingefügt worden ist, verordnet das Bundesministerium für Verkehr und digitale Infrastruktur im Einvernehmen mit dem Bundesministerium für Wirtschaft und Energie:</w:t>
      </w:r>
    </w:p>
    <w:p>
      <w:r>
        <w:rPr>
          <w:color w:val="555555"/>
          <w:sz w:val="17"/>
        </w:rPr>
        <w:t xml:space="preserve">Zitiervorschlag: Eingangsformel MfnvV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https://recht.nulegal.eu/gesetze/MfnvV/eingangsformel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