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MfnvV — Zeitliche Abstände der Erhebungen</w:t>
      </w:r>
    </w:p>
    <w:p>
      <w:r>
        <w:rPr>
          <w:color w:val="555555"/>
          <w:sz w:val="18"/>
        </w:rPr>
        <w:t xml:space="preserve">Mobilfunknetzvorausschauverordnung</w:t>
      </w:r>
    </w:p>
    <w:p>
      <w:r>
        <w:rPr>
          <w:color w:val="555555"/>
          <w:sz w:val="18"/>
        </w:rPr>
        <w:t xml:space="preserve">Historische Fassung: Stand 22.05.2021 bis 01.12.2021. Dies ist nicht die aktuelle Fassung.</w:t>
      </w:r>
    </w:p>
    <w:p>
      <w:r>
        <w:t xml:space="preserve">Die zuständige Stelle führt die Erhebungen nach § 77q Absatz 1 des Telekommunikationsgesetzes in regelmäßigen Abständen von spätestens sechs Monaten ab erstmaliger Erhebung durch und aktualisiert die Übersicht nach § 77q Absatz 1 des Telekommunikationsgesetzes dementsprechend.</w:t>
      </w:r>
    </w:p>
    <w:p>
      <w:r>
        <w:rPr>
          <w:color w:val="555555"/>
          <w:sz w:val="17"/>
        </w:rPr>
        <w:t xml:space="preserve">Zitiervorschlag: § 3 MfnvV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https://recht.nulegal.eu/gesetze/MfnvV/3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