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MfWV — Aufgaben und Befugnisse der Bundesnetzagentur</w:t>
      </w:r>
    </w:p>
    <w:p>
      <w:r>
        <w:rPr>
          <w:color w:val="555555"/>
          <w:sz w:val="18"/>
        </w:rPr>
        <w:t xml:space="preserve">Mobilfunk-Warn-Verordnung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(1) Die Bundesnetzagentur hat jährlich dem Bundesministerium für Wirtschaft und Energie über die Praxiserfahrungen bei der Aussendung öffentlicher Warnungen zu berichten.</w:t>
      </w:r>
    </w:p>
    <w:p>
      <w:r>
        <w:t xml:space="preserve">(2) Die Bundesnetzagentur ist befugt, Einsicht in die Protokolldaten nach § 7 und in die zugehörigen Unterlagen und Datensätze zu nehmen.</w:t>
      </w:r>
    </w:p>
    <w:p>
      <w:r>
        <w:t xml:space="preserve">(3) Die Befugnisse der Bundesnetzagentur nach § 183 Absatz 1 des Telekommunikationsgesetzes bleiben unberührt.</w:t>
      </w:r>
    </w:p>
    <w:p>
      <w:r>
        <w:rPr>
          <w:color w:val="555555"/>
          <w:sz w:val="17"/>
        </w:rPr>
        <w:t xml:space="preserve">Zitiervorschlag: § 9 MfWV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https://recht.nulegal.eu/gesetze/MfWV/9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