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MfWV — Organisatorische Vorkehrungen</w:t>
      </w:r>
    </w:p>
    <w:p>
      <w:r>
        <w:rPr>
          <w:color w:val="555555"/>
          <w:sz w:val="18"/>
        </w:rPr>
        <w:t xml:space="preserve">Mobilfunk-Warn-Verordnung</w:t>
      </w:r>
    </w:p>
    <w:p>
      <w:r>
        <w:rPr>
          <w:color w:val="555555"/>
          <w:sz w:val="18"/>
        </w:rPr>
        <w:t xml:space="preserve">Stand: 07.12.2021 (konsolidierte Textfassung, kein amtliches Inkrafttretensdatum)</w:t>
      </w:r>
    </w:p>
    <w:p>
      <w:r>
        <w:t xml:space="preserve">(1) Betreiber öffentlicher Mobilfunknetze haben sicherzustellen, dass sie jederzeit öffentliche Warnungen entgegennehmen und unverzüglich verarbeiten können.</w:t>
      </w:r>
    </w:p>
    <w:p>
      <w:r>
        <w:t xml:space="preserve">(2) Betreiber öffentlicher Mobilfunknetze haben der Bundesnetzagentur und dem Bundesamt für Bevölkerungsschutz und Katastrophenhilfe eine sachkundige Kontaktstelle im Inland zu benennen. Sie haben sicherzustellen, dass die Kontaktstelle</w:t>
      </w:r>
    </w:p>
    <w:p>
      <w:pPr>
        <w:ind w:left="420"/>
      </w:pPr>
      <w:r>
        <w:t xml:space="preserve">1. jederzeit über das Vorliegen von Störungen oder technischen Problemen im Zusammenhang mit der Anbindung an das zentrale Warnsystem des Bundes oder der Versendung öffentlicher Warnungen benachrichtigt werden kann und</w:t>
      </w:r>
    </w:p>
    <w:p>
      <w:pPr>
        <w:ind w:left="420"/>
      </w:pPr>
      <w:r>
        <w:t xml:space="preserve">2. telefonische oder schriftliche Rückfragen im Zusammenhang mit der Anbindung an das zentrale Warnsystem des Bundes oder der Versendung öffentlicher Warnungen unverzüglich beantwortet.</w:t>
      </w:r>
    </w:p>
    <w:p>
      <w:r>
        <w:rPr>
          <w:color w:val="555555"/>
          <w:sz w:val="17"/>
        </w:rPr>
        <w:t xml:space="preserve">Zitiervorschlag: § 4 MfWV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https://recht.nulegal.eu/gesetze/MfWV/4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