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MfWV — Begriffsbestimmungen</w:t>
      </w:r>
    </w:p>
    <w:p>
      <w:r>
        <w:rPr>
          <w:color w:val="555555"/>
          <w:sz w:val="18"/>
        </w:rPr>
        <w:t xml:space="preserve">Mobilfunk-Warn-Verordnung</w:t>
      </w:r>
    </w:p>
    <w:p>
      <w:r>
        <w:rPr>
          <w:color w:val="555555"/>
          <w:sz w:val="18"/>
        </w:rPr>
        <w:t xml:space="preserve">Stand: 07.12.2021 (konsolidierte Textfassung, kein amtliches Inkrafttretensdatum)</w:t>
      </w:r>
    </w:p>
    <w:p>
      <w:r>
        <w:t xml:space="preserve">Im Sinne dieser Verordnung ist</w:t>
      </w:r>
    </w:p>
    <w:p>
      <w:pPr>
        <w:ind w:left="420"/>
      </w:pPr>
      <w:r>
        <w:t xml:space="preserve">1. „Cell Broadcast Center“ eine technische Einrichtung, die öffentliche Warnungen entgegennehmen und unverzüglich verarbeiten kann;</w:t>
      </w:r>
    </w:p>
    <w:p>
      <w:pPr>
        <w:ind w:left="420"/>
      </w:pPr>
      <w:r>
        <w:t xml:space="preserve">2. „öffentliche Warnung“ eine Warnung vor drohenden oder sich ausbreitenden größeren Notfällen und Katastrophen, die über das zentrale Warnsystem des Bundes von den Gefahrenabwehrbehörden sowie von den Behörden des Zivil- und Katastrophenschutzes zum Zwecke der Aussendung an empfangsbereite Mobilfunkendgeräte in einem bestimmten geographischen Gebiet ausgelöst wird.</w:t>
      </w:r>
    </w:p>
    <w:p>
      <w:r>
        <w:rPr>
          <w:color w:val="555555"/>
          <w:sz w:val="17"/>
        </w:rPr>
        <w:t xml:space="preserve">Zitiervorschlag: § 2 MfWV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https://recht.nulegal.eu/gesetze/MfWV/2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