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 MfWV — Regelungsgegenstände</w:t>
      </w:r>
    </w:p>
    <w:p>
      <w:r>
        <w:rPr>
          <w:color w:val="555555"/>
          <w:sz w:val="18"/>
        </w:rPr>
        <w:t xml:space="preserve">Mobilfunk-Warn-Verordnung</w:t>
      </w:r>
    </w:p>
    <w:p>
      <w:r>
        <w:rPr>
          <w:color w:val="555555"/>
          <w:sz w:val="18"/>
        </w:rPr>
        <w:t xml:space="preserve">Stand: 07.12.2021 (konsolidierte Textfassung, kein amtliches Inkrafttretensdatum)</w:t>
      </w:r>
    </w:p>
    <w:p>
      <w:r>
        <w:t xml:space="preserve">Diese Verordnung</w:t>
      </w:r>
    </w:p>
    <w:p>
      <w:pPr>
        <w:ind w:left="420"/>
      </w:pPr>
      <w:r>
        <w:t xml:space="preserve">1. regelt die grundlegenden technischen Anforderungen und die organisatorischen Rahmenbedingungen für die Aussendung öffentlicher Warnungen in öffentlichen Mobilfunknetzen einschließlich der dabei zu erbringenden Leistungsmerkmale nach § 164a Absatz 1 und 2 des Telekommunikationsgesetzes,</w:t>
      </w:r>
    </w:p>
    <w:p>
      <w:pPr>
        <w:ind w:left="420"/>
      </w:pPr>
      <w:r>
        <w:t xml:space="preserve">2. konkretisiert die Pflichten der Anbieter öffentlich zugänglicher mobiler nummerngebundener interpersoneller Telekommunikationsdienste nach § 164a Absatz 3 des Telekommunikationsgesetzes und</w:t>
      </w:r>
    </w:p>
    <w:p>
      <w:pPr>
        <w:ind w:left="420"/>
      </w:pPr>
      <w:r>
        <w:t xml:space="preserve">3. konkretisiert die Aufgaben der Bundesnetzagentur hinsichtlich der Regelungsgegenstände nach den Nummern 1 und 2.</w:t>
      </w:r>
    </w:p>
    <w:p>
      <w:r>
        <w:rPr>
          <w:color w:val="555555"/>
          <w:sz w:val="17"/>
        </w:rPr>
        <w:t xml:space="preserve">Zitiervorschlag: § 1 MfWV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https://recht.nulegal.eu/gesetze/MfWV/1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