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MfG (Bayern) — Betriebsberatung, Beratungsstellen</w:t>
      </w:r>
    </w:p>
    <w:p>
      <w:r>
        <w:rPr>
          <w:color w:val="555555"/>
          <w:sz w:val="18"/>
        </w:rPr>
        <w:t xml:space="preserve">Mittelstandsförderungsgesetz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betriebswirtschaftliche, betriebstechnische und innovationsbezogene Beratung kann unterstützt werden.</w:t>
      </w:r>
    </w:p>
    <w:p>
      <w:r>
        <w:t xml:space="preserve">(2) Das landesweite Netz an Beratungseinrichtungen für mittelständische Unternehmen soll kontinuierlich den jeweils aktuellen Erfordernissen angepasst werden.</w:t>
      </w:r>
    </w:p>
    <w:p>
      <w:r>
        <w:t xml:space="preserve">(3) Die bei der LfA Förderbank Bayern eingerichteten Anlauf- und Beratungsstellen stehen auch Unternehmen in Schwierigkeiten zur Verfügung.</w:t>
      </w:r>
    </w:p>
    <w:p>
      <w:r>
        <w:rPr>
          <w:color w:val="555555"/>
          <w:sz w:val="17"/>
        </w:rPr>
        <w:t xml:space="preserve">Zitiervorschlag: Art 9 MfG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https://recht.nulegal.eu/gesetze/MfG/9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