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MfG (Bayern) — Mittelstandsfreundliche Verwaltungsverfahren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Behörden der in Art. 1 Abs. 2 genannten juristischen Personen arbeiten bei der Durchführung von Verwaltungsverfahren zügig, effizient und ergebnisorientiert zusammen. Sie berücksichtigen im Rahmen der Gesetze die wirtschaftlichen Interessen der mittelständischen Unternehmen.</w:t>
      </w:r>
    </w:p>
    <w:p>
      <w:r>
        <w:t xml:space="preserve">(2) Die Arbeitsabläufe sollen durch den Einsatz elektronischer Verfahren für die Beteiligten erleichtert sowie transparent und flexibel gestaltet werden.</w:t>
      </w:r>
    </w:p>
    <w:p>
      <w:r>
        <w:rPr>
          <w:color w:val="555555"/>
          <w:sz w:val="17"/>
        </w:rPr>
        <w:t xml:space="preserve">Zitiervorschlag: Art 6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