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MfG (Bayern) — Ausgestaltung der Fördermaßnahmen, Träger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Kammern und Organisationen der gewerblichen Wirtschaft sowie der Freien Berufe sollen bei der Ausgestaltung der Maßnahmen nach diesem Gesetz beratend hinzugezogen werden.</w:t>
      </w:r>
    </w:p>
    <w:p>
      <w:r>
        <w:t xml:space="preserve">(2) Träger der Fördermaßnahmen können die in Abs. 1 genannten Kammern und Organisationen sowie die staatlichen Einrichtungen zur Wirtschaftsförderung sein.</w:t>
      </w:r>
    </w:p>
    <w:p>
      <w:r>
        <w:rPr>
          <w:color w:val="555555"/>
          <w:sz w:val="17"/>
        </w:rPr>
        <w:t xml:space="preserve">Zitiervorschlag: Art 3 MfG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