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MfG (Bayern) — Abgrenzung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Gesetz findet auf die Förderung der Land- und Forstwirtschaft keine Anwendung.</w:t>
      </w:r>
    </w:p>
    <w:p>
      <w:r>
        <w:t xml:space="preserve">(2) Ernährungswirtschaftliche Betriebe, die landwirtschaftliche Erzeugnisse aufnehmen, be- oder verarbeiten, können auch nach Maßgabe des Gesetzes zur nachhaltigen Entwicklung der Agrarwirtschaft und des ländlichen Raumes (Bayerisches Agrarwirtschaftsgesetz – BayAgrarWiG) gefördert werden.</w:t>
      </w:r>
    </w:p>
    <w:p>
      <w:r>
        <w:rPr>
          <w:color w:val="555555"/>
          <w:sz w:val="17"/>
        </w:rPr>
        <w:t xml:space="preserve">Zitiervorschlag: Art 24 MfG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https://recht.nulegal.eu/gesetze/MfG/24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