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23 MfG (Bayern) — Zuständigkeiten</w:t>
      </w:r>
    </w:p>
    <w:p>
      <w:r>
        <w:rPr>
          <w:color w:val="555555"/>
          <w:sz w:val="18"/>
        </w:rPr>
        <w:t xml:space="preserve">Mittelstandsförderungsgesetz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Der Vollzug dieses Gesetzes obliegt dem Staatsministerium für Wirtschaft, Landesentwicklung und Energie, soweit für einzelne Aufgabenbereiche nicht andere Staatsministerien zuständig sind. Vorschriften über die Beteiligung anderer Behörden bleiben unberührt.</w:t>
      </w:r>
    </w:p>
    <w:p>
      <w:r>
        <w:rPr>
          <w:color w:val="555555"/>
          <w:sz w:val="17"/>
        </w:rPr>
        <w:t xml:space="preserve">Zitiervorschlag: Art 23 MfG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https://recht.nulegal.eu/gesetze/MfG/23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