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MfG (Bayern) — Untersuchungen und Einrichtungen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Wissenschaftliche Untersuchungen, die sich mit aktuellen mittelstandspolitischen Fragestellungen befassen, können veranlasst und gefördert werden.</w:t>
      </w:r>
    </w:p>
    <w:p>
      <w:r>
        <w:t xml:space="preserve">(2) Einrichtungen, die überwiegend wissenschaftliche Untersuchungen über mittelstandserhebliche Tatsachen durchführen oder durch wissenschaftlich orientierte Veranstaltungen zur Erforschung und Verbreitung mittelstandserheblicher Tatsachen beitragen, können gefördert werden.</w:t>
      </w:r>
    </w:p>
    <w:p>
      <w:r>
        <w:t xml:space="preserve">(3) Die Ergebnisse der Untersuchungen und Veranstaltungen sind grundsätzlich der Allgemeinheit zugänglich zu machen.</w:t>
      </w:r>
    </w:p>
    <w:p>
      <w:r>
        <w:rPr>
          <w:color w:val="555555"/>
          <w:sz w:val="17"/>
        </w:rPr>
        <w:t xml:space="preserve">Zitiervorschlag: Art 20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