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MfG (Bayern) — Fördergrundsätze</w:t>
      </w:r>
    </w:p>
    <w:p>
      <w:r>
        <w:rPr>
          <w:color w:val="555555"/>
          <w:sz w:val="18"/>
        </w:rPr>
        <w:t xml:space="preserve">Mittelstandsförderungsgesetz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Förderung soll Anstoß zu Eigeninitiative geben sowie geeignete Formen der Selbsthilfe unterstützen.</w:t>
      </w:r>
    </w:p>
    <w:p>
      <w:r>
        <w:t xml:space="preserve">(2) Mittelstandsrelevante Maßnahmen sollen aufeinander abgestimmt werden. Dabei sollen Fördermaßnahmen Dritter, insbesondere des Bundes und der Europäischen Union, berücksichtigt werden.</w:t>
      </w:r>
    </w:p>
    <w:p>
      <w:r>
        <w:t xml:space="preserve">(3) Finanzielle Fördermaßnahmen werden nach Maßgabe des Haushalts und der jeweils einschlägigen Förderrichtlinien gewährt.</w:t>
      </w:r>
    </w:p>
    <w:p>
      <w:r>
        <w:t xml:space="preserve">(4) Rechtsansprüche auf finanzielle und sonstige Fördermaßnahmen werden durch dieses Gesetz nicht begründet.</w:t>
      </w:r>
    </w:p>
    <w:p>
      <w:r>
        <w:t xml:space="preserve">(5) Dieses Gesetz regelt die Fördermaßnahmen nicht abschließend.</w:t>
      </w:r>
    </w:p>
    <w:p>
      <w:r>
        <w:rPr>
          <w:color w:val="555555"/>
          <w:sz w:val="17"/>
        </w:rPr>
        <w:t xml:space="preserve">Zitiervorschlag: Art 2 MfG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