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MfG (Bayern) — Finanzierungshilfen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Unternehmensgründungen, für Unternehmensübernahmen sowie zur Erhaltung und Steigerung der Leistungs- und Wettbewerbsfähigkeit mittelständischer Unternehmen (z.B. durch Rationalisierung, Qualitätsverbesserung, Modernisierung und Erweiterung) können Finanzierungshilfen in Form von Zuwendungen im Sinn des Art. 23 der Haushaltsordnung des Freistaates Bayern – Bayerische Haushaltsordnung – BayHO – (BayRS 630-1-F), zuletzt geändert durch § 2 des Gesetzes vom 9. Mai 2005 (GVBl S. 193), (z.B. Zinszuschüsse, zinsverbilligte Darlehen, Zuschüsse), in Form von Risikoübernahmen (z.B. Haftungsfreistellungen, Bürgschaften) gewährt werden.</w:t>
      </w:r>
    </w:p>
    <w:p>
      <w:r>
        <w:t xml:space="preserve">(2) An Vorhaben im Sinn von Abs. 1 besteht in der Regel ein volkswirtschaftliches oder sozialpolitisches Interesse im Sinn des Art. 2 Abs. 1 des Gesetzes über die Übernahme von Staatsbürgschaften und Garantien des Freistaates Bayern – BÜG – (BayRS 66-1-F) in der jeweils geltenden Fassung.</w:t>
      </w:r>
    </w:p>
    <w:p>
      <w:r>
        <w:t xml:space="preserve">(3) Für Risikoübernahmen können Haftungsfonds eingerichtet werden. Zur Dotierung von Haftungsfonds können Zuschüsse oder Darlehen gewährt werden.</w:t>
      </w:r>
    </w:p>
    <w:p>
      <w:r>
        <w:rPr>
          <w:color w:val="555555"/>
          <w:sz w:val="17"/>
        </w:rPr>
        <w:t xml:space="preserve">Zitiervorschlag: Art 15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