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MfG (Bayern) — Existenzgründung und Unternehmensnachfolge</w:t>
      </w:r>
    </w:p>
    <w:p>
      <w:r>
        <w:rPr>
          <w:color w:val="555555"/>
          <w:sz w:val="18"/>
        </w:rPr>
        <w:t xml:space="preserve">Mittelstandsförderungsgesetz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Existenzgründungen können durch Beratung vor und während der Gründungsphase unterstützt werden. Hilfe kann auch gewährt werden durch</w:t>
      </w:r>
    </w:p>
    <w:p>
      <w:r>
        <w:t xml:space="preserve">1. kommunale und technologieorientierte Gründerzentren und</w:t>
      </w:r>
    </w:p>
    <w:p>
      <w:r>
        <w:t xml:space="preserve">2. Informationsbereitstellung über elektronische Medien.</w:t>
      </w:r>
    </w:p>
    <w:p>
      <w:r>
        <w:t xml:space="preserve">(2) Maßnahmen zur Sicherung der Unternehmensnachfolge können unterstützt werden.</w:t>
      </w:r>
    </w:p>
    <w:p>
      <w:r>
        <w:rPr>
          <w:color w:val="555555"/>
          <w:sz w:val="17"/>
        </w:rPr>
        <w:t xml:space="preserve">Zitiervorschlag: Art 10 MfG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