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MetblMstrV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Auf Grund des § 51a Absatz 2 der Handwerksordnung in der Fassung der Bekanntmachung vom 24. September 1998 (BGBl.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