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MetblMstrV — Gewichtung; Bestehen der Prüfung in Teil I</w:t>
      </w:r>
    </w:p>
    <w:p>
      <w:r>
        <w:rPr>
          <w:color w:val="555555"/>
          <w:sz w:val="18"/>
        </w:rPr>
        <w:t xml:space="preserve">Metallblasinstrumentenmachermeisterverordnung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Das Meisterprüfungsprojekt, das Fachgespräch und die Situationsaufgabe werden gesondert bewertet. Für das Gesamtergebnis der Prüfung in Teil I der Meisterprüfung werden zunächst die Bewertung des Meisterprüfungsprojekts und die Bewertung des Fachgesprächs im Verhältnis 3:1 gewichtet. Anschließend wird das hieraus folgende Ergebnis mit der Bewertung der Situationsaufgabe im Verhältnis 2:1 gewichtet.</w:t>
      </w:r>
    </w:p>
    <w:p>
      <w:r>
        <w:t xml:space="preserve">(2) Der Prüfling hat den Teil I der Meisterprüfung bestanden, wenn</w:t>
      </w:r>
    </w:p>
    <w:p>
      <w:pPr>
        <w:ind w:left="420"/>
      </w:pPr>
      <w:r>
        <w:t xml:space="preserve">1. das Meisterprüfungsprojekt, das Fachgespräch und die Situationsaufgabe jeweils mit mindestens 30 Punkten bewertet worden ist und</w:t>
      </w:r>
    </w:p>
    <w:p>
      <w:pPr>
        <w:ind w:left="420"/>
      </w:pPr>
      <w:r>
        <w:t xml:space="preserve">2. das Gesamtergebnis der Prüfung mindestens „ausreichend“ ist.</w:t>
      </w:r>
    </w:p>
    <w:p>
      <w:r>
        <w:rPr>
          <w:color w:val="555555"/>
          <w:sz w:val="17"/>
        </w:rPr>
        <w:t xml:space="preserve">Zitiervorschlag: § 7 MetblMstrV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https://recht.nulegal.eu/gesetze/MetblMstrV/7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