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MetblMstrV — Situationsaufgabe</w:t>
      </w:r>
    </w:p>
    <w:p>
      <w:r>
        <w:rPr>
          <w:color w:val="555555"/>
          <w:sz w:val="18"/>
        </w:rPr>
        <w:t xml:space="preserve">Metallblasinstrumentenmachermeisterverordnung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Die Situationsaufgabe orientiert sich an einem Kundenauftrag und vervollständigt den Nachweis der beruflichen Handlungskompetenz für die Meisterprüfung im Metallblasinstrumentenmacher-Handwerk.</w:t>
      </w:r>
    </w:p>
    <w:p>
      <w:r>
        <w:t xml:space="preserve">(2) Die Situationsaufgabe wird vom Meisterprüfungsausschuss festgelegt. Dabei hat der Prüfling folgende Arbeiten auszuführen:</w:t>
      </w:r>
    </w:p>
    <w:p>
      <w:pPr>
        <w:ind w:left="420"/>
      </w:pPr>
      <w:r>
        <w:t xml:space="preserve">1. Herstellen eines Bauteils oder mehrerer Bauteile gemäß Fertigungszeichnung oder Schablone für ein Metallblasinstrument, das nicht Gegenstand des Meisterprüfungsprojekts war und</w:t>
      </w:r>
    </w:p>
    <w:p>
      <w:pPr>
        <w:ind w:left="420"/>
      </w:pPr>
      <w:r>
        <w:t xml:space="preserve">2. Fehler, Mängel und Störungen der Zylindermaschine eines Metallblasinstruments analysieren sowie Zylindermaschine instand setzen.</w:t>
      </w:r>
    </w:p>
    <w:p>
      <w:r>
        <w:t xml:space="preserve">(3) Für die Bearbeitung der Situationsaufgabe stehen dem Prüfling acht Stunden zur Verfügung.</w:t>
      </w:r>
    </w:p>
    <w:p>
      <w:r>
        <w:t xml:space="preserve">(4) Jede Arbeit nach Absatz 2 Satz 2 Nummer 1 und 2 wird gesondert bewertet. Die Gesamtbewertung der Situationsaufgabe entspricht dem arithmetischen Mittel der Bewertungen der ausgeführten Arbeiten nach Absatz 2 Satz 2.</w:t>
      </w:r>
    </w:p>
    <w:p>
      <w:r>
        <w:rPr>
          <w:color w:val="555555"/>
          <w:sz w:val="17"/>
        </w:rPr>
        <w:t xml:space="preserve">Zitiervorschlag: § 6 MetblMstrV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https://recht.nulegal.eu/gesetze/MetblMstrV/6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