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MetblMstrV — Fachgespräch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beraten, insbesondere im Hinblick auf den jeweiligen Kundenwunsch und dabei wirtschaftliche Gesichtspunkte sowie rechtliche und technische Anforderungen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und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Metallblasinstrumentenmacher-Handwerk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