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MetblMstrV — Inkrafttreten, Außerkrafttreten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September 2020 in Kraft. Die nach § 122 Absatz 3 und 4 der Handwerksordnung für das Metallblas- und Schlagzeuginstrumentenmacher-Handwerk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15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