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MetblMstrV — Gegenstand</w:t>
      </w:r>
    </w:p>
    <w:p>
      <w:r>
        <w:rPr>
          <w:color w:val="555555"/>
          <w:sz w:val="18"/>
        </w:rPr>
        <w:t xml:space="preserve">Metallblasinstrumentenmachermeisterverordnung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Diese Verordnung regelt das Meisterprüfungsberufsbild sowie die in der Prüfung in den Teilen I und II der Meisterprüfung im Metallblasinstrumentenmacher-Handwerk zu stellenden Anforderungen.</w:t>
      </w:r>
    </w:p>
    <w:p>
      <w:r>
        <w:rPr>
          <w:color w:val="555555"/>
          <w:sz w:val="17"/>
        </w:rPr>
        <w:t xml:space="preserve">Zitiervorschlag: § 1 MetblMstrV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https://recht.nulegal.eu/gesetze/MetblMstrV/1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