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MetallbildMstrV — Gliederung, Prüfungsdauer und Bestehen des Teils I</w:t>
      </w:r>
    </w:p>
    <w:p>
      <w:r>
        <w:rPr>
          <w:color w:val="555555"/>
          <w:sz w:val="18"/>
        </w:rPr>
        <w:t xml:space="preserve">Metallbildnermeisterverordnung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t xml:space="preserve">(2) Die Anfertigung des Meisterprüfungsprojekts soll nicht länger als zehn Arbeitstage, das Fachgespräch nicht länger als 30 Minuten dauern. Die Ausführung der Situationsaufgabe soll acht Stunden nicht überschreiten.</w:t>
      </w:r>
    </w:p>
    <w:p>
      <w:r>
        <w:t xml:space="preserve">(3) Meisterprüfungsprojekt, Fachgespräch und Situationsaufgabe werden gesondert bewertet. Die Prüfungsleistungen im Meisterprüfungsprojekt und im Fachgespräch werden im Verhältnis 3:1 gewichtet. Hieraus wird eine Gesamtbewertung gebildet. Diese Gesamtbewertung wird zum Prüfungsergebnis der Situationsaufgabe im Verhältnis 2:1 gewichtet.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3 MetallbildMstrV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https://recht.nulegal.eu/gesetze/MetallbildMstrV/3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