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MetallbMstrV 2025 — Situationsaufgabe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Situationsaufgabe orientiert sich an einem Kundenauftrag und vervollständigt für die Meisterprüfung den Nachweis der beruflichen Handlungskompetenz im Metallbauer-Handwerk.</w:t>
      </w:r>
    </w:p>
    <w:p>
      <w:r>
        <w:t xml:space="preserve">(2) Die Situationsaufgabe wird nach Maßgabe der Vorschriften der Meisterprüfungsverfahrensverordnung unter Berücksichtigung des vom Prüfling gewählten Schwerpunktes nach § 1 Nummer 1 bis 3 festgelegt und gliedert sich wie folgt:</w:t>
      </w:r>
    </w:p>
    <w:p>
      <w:pPr>
        <w:ind w:left="420"/>
      </w:pPr>
      <w:r>
        <w:t xml:space="preserve">1. eine funktionsfähige Metallbauarbeit anfertigen oder fertig stellen, dabei Umformtechniken sowie Fügetechniken, insbesondere Schweißen, unter Berücksichtigung von Qualität, Zeit, Materialeinsatz und Arbeitsorganisation nachweisen sowie</w:t>
      </w:r>
    </w:p>
    <w:p>
      <w:pPr>
        <w:ind w:left="420"/>
      </w:pPr>
      <w:r>
        <w:t xml:space="preserve">2. Fehler sowie Störungen an einer Konstruktion oder Anlage des Metallbaus eingrenzen, bestimmen, beheben und Ergebnisse dokumentieren.</w:t>
      </w:r>
    </w:p>
    <w:p>
      <w:r>
        <w:t xml:space="preserve">(3) Für die Bearbeitung der Situationsaufgabe stehen dem Prüfling acht Stunden zur Verfügung.</w:t>
      </w:r>
    </w:p>
    <w:p>
      <w:r>
        <w:t xml:space="preserve">(4) Jede Teilarbeit nach Absatz 2 Nummer 1 und 2 ist gesondert zu bewerten. Das Gesamtergebnis der Situationsaufgabe wird aus dem arithmetischen Mittel der Einzelbewertungen der Teilarbeiten nach Absatz 2 gebildet.</w:t>
      </w:r>
    </w:p>
    <w:p>
      <w:r>
        <w:rPr>
          <w:color w:val="555555"/>
          <w:sz w:val="17"/>
        </w:rPr>
        <w:t xml:space="preserve">Zitiervorschlag: § 6 MetallbMstrV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https://recht.nulegal.eu/gesetze/MetallbMstrV%202025/6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