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MetallbAusbV 2008 — Struktur der Berufsausbildung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die Ausbildung in einer der Fachrichtungen</w:t>
      </w:r>
    </w:p>
    <w:p>
      <w:pPr>
        <w:ind w:left="420"/>
      </w:pPr>
      <w:r>
        <w:t xml:space="preserve">1. Konstruktionstechnik,</w:t>
      </w:r>
    </w:p>
    <w:p>
      <w:pPr>
        <w:ind w:left="420"/>
      </w:pPr>
      <w:r>
        <w:t xml:space="preserve">2. Metallgestaltung oder</w:t>
      </w:r>
    </w:p>
    <w:p>
      <w:pPr>
        <w:ind w:left="420"/>
      </w:pPr>
      <w:r>
        <w:t xml:space="preserve">3. Nutzfahrzeugbau.</w:t>
      </w:r>
    </w:p>
    <w:p>
      <w:r>
        <w:rPr>
          <w:color w:val="555555"/>
          <w:sz w:val="17"/>
        </w:rPr>
        <w:t xml:space="preserve">Zitiervorschlag: § 3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