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MetallbAusbV 2008 — Gewichtungs- und Bestehensregelung in der Fachrichtung Nutzfahrzeugbau</w:t>
      </w:r>
    </w:p>
    <w:p>
      <w:r>
        <w:rPr>
          <w:color w:val="555555"/>
          <w:sz w:val="18"/>
        </w:rPr>
        <w:t xml:space="preserve">Verordnung über die Berufsausbildung zum Metallbauer und zur Metallbauerin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Prüfungsbereiche in der Fachrichtung Nutzfahrzeugbau sind wie folgt zu gewichten:</w:t>
      </w:r>
    </w:p>
    <w:p>
      <w:r>
        <w:rPr>
          <w:rFonts w:ascii="Courier New" w:hAnsi="Courier New"/>
          <w:sz w:val="17"/>
        </w:rPr>
        <w:t xml:space="preserve">1.    Prüfungsbereich Arbeitsauftrag    30 Prozent,</w:t>
      </w:r>
    </w:p>
    <w:p>
      <w:r>
        <w:rPr>
          <w:rFonts w:ascii="Courier New" w:hAnsi="Courier New"/>
          <w:sz w:val="17"/>
        </w:rPr>
        <w:t xml:space="preserve">2.    Prüfungsbereich Kundenauftrag    35 Prozent,</w:t>
      </w:r>
    </w:p>
    <w:p>
      <w:r>
        <w:rPr>
          <w:rFonts w:ascii="Courier New" w:hAnsi="Courier New"/>
          <w:sz w:val="17"/>
        </w:rPr>
        <w:t xml:space="preserve">3.    Prüfungsbereich Fahrzeugkonstruktionstechnik    12,5 Prozent,</w:t>
      </w:r>
    </w:p>
    <w:p>
      <w:r>
        <w:rPr>
          <w:rFonts w:ascii="Courier New" w:hAnsi="Courier New"/>
          <w:sz w:val="17"/>
        </w:rPr>
        <w:t xml:space="preserve">4.    Prüfungsbereich Funktionsanalyse    12,5 Prozent,</w:t>
      </w:r>
    </w:p>
    <w:p>
      <w:r>
        <w:rPr>
          <w:rFonts w:ascii="Courier New" w:hAnsi="Courier New"/>
          <w:sz w:val="17"/>
        </w:rPr>
        <w:t xml:space="preserve">5.    Prüfungsbereich Wirtschafts- und Sozialkunde    10 Prozent.</w:t>
      </w:r>
    </w:p>
    <w:p>
      <w:r>
        <w:t xml:space="preserve">(2) Die Gesellenprüfung in der Fachrichtung Nutzfahrzeugbau ist bestanden, wenn die Leistungen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der Gesellenprüfung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zwei der übrigen Prüfungsbereiche von Teil 2 mit mindestens „ausreichend“ und</w:t>
      </w:r>
    </w:p>
    <w:p>
      <w:pPr>
        <w:ind w:left="420"/>
      </w:pPr>
      <w:r>
        <w:t xml:space="preserve">5. in keinem Prüfungsbereich von Teil 2 mit „ungenügend“</w:t>
      </w:r>
    </w:p>
    <w:p>
      <w:r>
        <w:t xml:space="preserve">bewertet worden sind.</w:t>
      </w:r>
    </w:p>
    <w:p>
      <w:r>
        <w:rPr>
          <w:color w:val="555555"/>
          <w:sz w:val="17"/>
        </w:rPr>
        <w:t xml:space="preserve">Zitiervorschlag: § 13 MetallbAusbV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https://recht.nulegal.eu/gesetze/MetallbAusbV%202008/13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